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4C2C46" w:rsidRPr="006167D5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55.103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DN15 til DN200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4C2C46" w:rsidRPr="006167D5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flange/flange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grafit-ringe. 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fremstillet i henhold til ISO9001:2008 og ISO14001.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4C2C46" w:rsidRPr="00434783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4C2C46" w:rsidRPr="00434783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4C2C46" w:rsidRPr="00731B55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Flange / Flange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DN15 til DN50 = PN 40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DN65 til DN200 = PN 25 / 16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250 °C</w:t>
      </w:r>
    </w:p>
    <w:p w:rsidR="004C2C46" w:rsidRPr="00731B55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stål, egnet til damp.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Tætningsring:</w:t>
      </w:r>
      <w:r>
        <w:rPr>
          <w:rFonts w:ascii="Myriad Pro" w:hAnsi="Myriad Pro" w:cs="Arial"/>
          <w:color w:val="000000"/>
          <w:sz w:val="22"/>
          <w:szCs w:val="22"/>
        </w:rPr>
        <w:tab/>
        <w:t>Grafit (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Grafmet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950)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DN15 til DN80 = Standard greb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DN100 til DN200 = Standard greb /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4C2C46" w:rsidRPr="00731B55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4C2C46" w:rsidRPr="00F64B4A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4C2C46" w:rsidRPr="00731B55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4C2C46" w:rsidRDefault="004C2C46" w:rsidP="004C2C4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4C2C46" w:rsidRPr="009950D9" w:rsidRDefault="004C2C46" w:rsidP="004C2C46">
      <w:pPr>
        <w:tabs>
          <w:tab w:val="left" w:pos="1440"/>
        </w:tabs>
        <w:autoSpaceDE w:val="0"/>
        <w:autoSpaceDN w:val="0"/>
        <w:adjustRightInd w:val="0"/>
      </w:pPr>
      <w:r>
        <w:rPr>
          <w:rFonts w:ascii="Myriad Pro" w:hAnsi="Myriad Pro" w:cs="Arial"/>
          <w:color w:val="000000"/>
          <w:sz w:val="22"/>
          <w:szCs w:val="22"/>
        </w:rPr>
        <w:t>DN100 til DN200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12A2" w:rsidRPr="004C2C46" w:rsidRDefault="009C12A2" w:rsidP="004C2C46">
      <w:bookmarkStart w:id="1" w:name="_GoBack"/>
      <w:bookmarkEnd w:id="1"/>
    </w:p>
    <w:sectPr w:rsidR="009C12A2" w:rsidRPr="004C2C4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C2C4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4C2C4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4C2C4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4C2C4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4C2C4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4C2C4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4C2C4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C3B9-5A98-4D9B-96E6-60B56A2A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2018-08-10T12:02:00Z</dcterms:created>
  <dcterms:modified xsi:type="dcterms:W3CDTF">2018-08-10T12:02:00Z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